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eb0aed713acd005a80c147b57f23c26ddf5f1"/>
    <w:p>
      <w:pPr>
        <w:pStyle w:val="Heading3"/>
      </w:pPr>
      <w:r>
        <w:t xml:space="preserve">Бесплатная вакцинация против бешенства у животных</w:t>
      </w:r>
    </w:p>
    <w:p>
      <w:pPr>
        <w:pStyle w:val="FirstParagraph"/>
      </w:pPr>
      <w:r>
        <w:t xml:space="preserve">03.04.2024</w:t>
      </w:r>
    </w:p>
    <w:p>
      <w:pPr>
        <w:pStyle w:val="BodyText"/>
      </w:pPr>
      <w:r>
        <w:drawing>
          <wp:inline>
            <wp:extent cx="5334000" cy="40643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обьявление%20Богородское%2005-2024%20+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64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http://bogorodskoe.mos.ru/the-state-veterinary-service/detail/12290678.html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122906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state-veterinary-service/detail/122906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2024-04-09T00:08:41Z</dcterms:created>
  <dcterms:modified xsi:type="dcterms:W3CDTF">2024-04-09T00:08:41Z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