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ff0736004a5a59f2baa1646bf30b612c2f88a0"/>
    <w:p>
      <w:pPr>
        <w:pStyle w:val="Heading3"/>
      </w:pPr>
      <w:r>
        <w:t xml:space="preserve">Общественная приёмная по вопросам нарушений и преступлений в сфере экономической деятельности осуществляет ведёт приём предпринимателей</w:t>
      </w:r>
    </w:p>
    <w:p>
      <w:pPr>
        <w:pStyle w:val="FirstParagraph"/>
      </w:pPr>
      <w:r>
        <w:t xml:space="preserve">23.01.2023</w:t>
      </w:r>
    </w:p>
    <w:p>
      <w:pPr>
        <w:pStyle w:val="BodyText"/>
      </w:pPr>
      <w:r>
        <w:t xml:space="preserve">В 2020 году приказом Уполномоченного по защите прав предпринимателей по г. Москве сформирована Общественная приемная по вопросам нарушений и преступлений в сфере экономической деятельности.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Подразделение проводит первичную правовую экспертизу жалоб и обращений предпринимателей, а также консультации субъектов предпринимательской деятельности по вопросам защиты их прав и законных интересов.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Правом обратиться в общественную приемную с жалобой на любые нарушения своих прав и законных интересов обладают индивидуальные предприниматели и юридические лица, зарегистрированные в Москве, либо осуществляющие предпринимательскую деятельность на территории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на сайте: </w:t>
      </w:r>
      <w:hyperlink r:id="rId20">
        <w:r>
          <w:rPr>
            <w:rStyle w:val="Hyperlink"/>
          </w:rPr>
          <w:t xml:space="preserve">https://matyuninspartners.ru/mosombudsman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http://bogorodskoe.mos.ru/trade-and-services/inform/detail/11360472.html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360472.html" TargetMode="External" /><Relationship Type="http://schemas.openxmlformats.org/officeDocument/2006/relationships/hyperlink" Id="rId20" Target="https://matyuninspartners.ru/mosombudsma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360472.html" TargetMode="External" /><Relationship Type="http://schemas.openxmlformats.org/officeDocument/2006/relationships/hyperlink" Id="rId20" Target="https://matyuninspartners.ru/mosombudsma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2023-08-22T21:52:16Z</dcterms:created>
  <dcterms:modified xsi:type="dcterms:W3CDTF">2023-08-22T21:52:16Z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