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acb2a6b647df7ba78d60c42c6503f34943c8a"/>
    <w:p>
      <w:pPr>
        <w:pStyle w:val="Heading3"/>
      </w:pPr>
      <w:r>
        <w:t xml:space="preserve">17 апреля, 15:30 – Презентация «Как открыть бизнес в киоске или павильоне?»</w:t>
      </w:r>
    </w:p>
    <w:p>
      <w:pPr>
        <w:pStyle w:val="FirstParagraph"/>
      </w:pPr>
      <w:r>
        <w:t xml:space="preserve">16.04.2018</w:t>
      </w:r>
    </w:p>
    <w:p>
      <w:pPr>
        <w:pStyle w:val="BodyText"/>
      </w:pPr>
      <w:r>
        <w:t xml:space="preserve">17 апреля 2018 года, в 15:30 (регистрация с 15:00), по адресу: ул. Покровка, д. 47, Цифровое деловое пространство, Департамент города Москвы по конкурентной политике в рамках проекта «Биржа торгов» проводит презентацию (Road Show) «Как открыть бизнес в киоске или павильоне?».</w:t>
      </w:r>
    </w:p>
    <w:p>
      <w:pPr>
        <w:pStyle w:val="BodyText"/>
      </w:pPr>
      <w:r>
        <w:t xml:space="preserve">В ходе презентации представители профильных органов исполнительной власти города Москвы расскажут участникам об условиях и порядке участия в аукционах, а также проведут презентацию объектов, находящихся на торгах, а приглашенные победители торгов по НТО поделятся своим опытом участия в торгах.</w:t>
      </w:r>
    </w:p>
    <w:p>
      <w:pPr>
        <w:pStyle w:val="BodyText"/>
      </w:pPr>
      <w:r>
        <w:t xml:space="preserve">На мероприятии будут представлены нестационарные торговые объекты на территории города с различным функциональным назначением:</w:t>
      </w:r>
    </w:p>
    <w:p>
      <w:pPr>
        <w:numPr>
          <w:ilvl w:val="0"/>
          <w:numId w:val="1001"/>
        </w:numPr>
        <w:pStyle w:val="Compact"/>
      </w:pPr>
      <w:r>
        <w:t xml:space="preserve">киоски и павильоны на уличном пространстве;</w:t>
      </w:r>
    </w:p>
    <w:p>
      <w:pPr>
        <w:numPr>
          <w:ilvl w:val="0"/>
          <w:numId w:val="1001"/>
        </w:numPr>
        <w:pStyle w:val="Compact"/>
      </w:pPr>
      <w:r>
        <w:t xml:space="preserve">в подуличных переходах Московского метрополитена;</w:t>
      </w:r>
    </w:p>
    <w:p>
      <w:pPr>
        <w:numPr>
          <w:ilvl w:val="0"/>
          <w:numId w:val="1001"/>
        </w:numPr>
        <w:pStyle w:val="Compact"/>
      </w:pPr>
      <w:r>
        <w:t xml:space="preserve">на территории московских парков;</w:t>
      </w:r>
    </w:p>
    <w:p>
      <w:pPr>
        <w:numPr>
          <w:ilvl w:val="0"/>
          <w:numId w:val="1001"/>
        </w:numPr>
        <w:pStyle w:val="Compact"/>
      </w:pPr>
      <w:r>
        <w:t xml:space="preserve">передвижные НТО и торговые автоматы;</w:t>
      </w:r>
    </w:p>
    <w:p>
      <w:pPr>
        <w:numPr>
          <w:ilvl w:val="0"/>
          <w:numId w:val="1001"/>
        </w:numPr>
        <w:pStyle w:val="Compact"/>
      </w:pPr>
      <w:r>
        <w:t xml:space="preserve">бахчевые развалы и елочные базары.</w:t>
      </w:r>
    </w:p>
    <w:p>
      <w:pPr>
        <w:pStyle w:val="FirstParagraph"/>
      </w:pPr>
      <w:r>
        <w:t xml:space="preserve">Подробная информация об объектах, выставленных на торги, размещена на инвестиционном портале Москвы:</w:t>
      </w:r>
      <w:r>
        <w:t xml:space="preserve"> </w:t>
      </w:r>
      <w:hyperlink r:id="rId20">
        <w:r>
          <w:rPr>
            <w:rStyle w:val="Hyperlink"/>
          </w:rPr>
          <w:t xml:space="preserve">www.investmoscow.ru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http://bogorodskoe.mos.ru/trade-and-services/inform/detail/7267354.html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7267354.html" TargetMode="External" /><Relationship Type="http://schemas.openxmlformats.org/officeDocument/2006/relationships/hyperlink" Id="rId20" Target="http://www.investmoscow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7267354.html" TargetMode="External" /><Relationship Type="http://schemas.openxmlformats.org/officeDocument/2006/relationships/hyperlink" Id="rId20" Target="http://www.investmoscow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2024-04-06T05:38:17Z</dcterms:created>
  <dcterms:modified xsi:type="dcterms:W3CDTF">2024-04-06T05:38:17Z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