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056ebfd2c3ca77c922f79cce9452194103a40"/>
    <w:p>
      <w:pPr>
        <w:pStyle w:val="Heading3"/>
      </w:pPr>
      <w:r>
        <w:t xml:space="preserve">С 05.04.2019 в городе Москве возобновляется деятельность региональных ярмарок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05.04.2019 в городе Москве возобновляется деятельность региональных ярмарок</w:t>
      </w:r>
    </w:p>
    <w:p>
      <w:pPr>
        <w:pStyle w:val="BodyText"/>
      </w:pPr>
      <w:r>
        <w:rPr>
          <w:bCs/>
          <w:b/>
        </w:rPr>
        <w:t xml:space="preserve">Адресный перечень «ярмарок выходного дня» на территории Восточного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на 2019 год</w:t>
      </w:r>
    </w:p>
    <w:p>
      <w:pPr>
        <w:pStyle w:val="BodyText"/>
      </w:pPr>
      <w:r>
        <w:drawing>
          <wp:inline>
            <wp:extent cx="5334000" cy="59654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7bd/yav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65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http://bogorodskoe.mos.ru/trade-and-services/inform/detail/7975540.html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7975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7975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2023-08-22T21:53:47Z</dcterms:created>
  <dcterms:modified xsi:type="dcterms:W3CDTF">2023-08-22T21:53:47Z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